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78EB0" w14:textId="77777777" w:rsidR="00A46F51" w:rsidRDefault="005E4E70">
      <w:pPr>
        <w:spacing w:after="80"/>
        <w:jc w:val="right"/>
      </w:pPr>
      <w:r>
        <w:rPr>
          <w:noProof/>
        </w:rPr>
        <w:drawing>
          <wp:inline distT="0" distB="0" distL="0" distR="0" wp14:anchorId="5BD0778C" wp14:editId="67872BF2">
            <wp:extent cx="2043430" cy="1022312"/>
            <wp:effectExtent l="0" t="0" r="0" b="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02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b/>
          <w:sz w:val="28"/>
        </w:rPr>
        <w:t xml:space="preserve">                                       </w:t>
      </w:r>
      <w:r>
        <w:rPr>
          <w:noProof/>
        </w:rPr>
        <w:drawing>
          <wp:inline distT="0" distB="0" distL="0" distR="0" wp14:anchorId="47ADC6F1" wp14:editId="70B5F832">
            <wp:extent cx="1872869" cy="1053465"/>
            <wp:effectExtent l="0" t="0" r="0" b="0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2869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b/>
          <w:sz w:val="28"/>
        </w:rPr>
        <w:t xml:space="preserve"> </w:t>
      </w:r>
    </w:p>
    <w:p w14:paraId="1639C54A" w14:textId="77777777" w:rsidR="00A46F51" w:rsidRDefault="005E4E70">
      <w:pPr>
        <w:spacing w:after="94"/>
        <w:ind w:right="52"/>
        <w:jc w:val="center"/>
      </w:pPr>
      <w:r>
        <w:rPr>
          <w:rFonts w:ascii="Open Sans" w:eastAsia="Open Sans" w:hAnsi="Open Sans" w:cs="Open Sans"/>
          <w:b/>
          <w:sz w:val="28"/>
        </w:rPr>
        <w:t xml:space="preserve">BENEFITS, REWARDS &amp; RECOGNITION </w:t>
      </w:r>
    </w:p>
    <w:p w14:paraId="41526912" w14:textId="77777777" w:rsidR="00A46F51" w:rsidRDefault="005E4E70">
      <w:pPr>
        <w:spacing w:after="0"/>
      </w:pPr>
      <w:r>
        <w:rPr>
          <w:rFonts w:ascii="Open Sans" w:eastAsia="Open Sans" w:hAnsi="Open Sans" w:cs="Open Sans"/>
        </w:rPr>
        <w:t xml:space="preserve">Here is a summary of the benefits, rewards and recognition that we currently offer to our staff: </w:t>
      </w:r>
    </w:p>
    <w:tbl>
      <w:tblPr>
        <w:tblStyle w:val="TableGrid"/>
        <w:tblW w:w="9533" w:type="dxa"/>
        <w:tblInd w:w="-108" w:type="dxa"/>
        <w:tblCellMar>
          <w:top w:w="71" w:type="dxa"/>
          <w:left w:w="2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3365"/>
        <w:gridCol w:w="3082"/>
      </w:tblGrid>
      <w:tr w:rsidR="00A46F51" w14:paraId="0DCCDD56" w14:textId="77777777">
        <w:trPr>
          <w:trHeight w:val="49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B26E" w14:textId="77777777" w:rsidR="00A46F51" w:rsidRDefault="005E4E70">
            <w:pPr>
              <w:spacing w:after="0"/>
              <w:ind w:right="21"/>
              <w:jc w:val="center"/>
            </w:pPr>
            <w:r>
              <w:rPr>
                <w:rFonts w:ascii="Open Sans" w:eastAsia="Open Sans" w:hAnsi="Open Sans" w:cs="Open Sans"/>
                <w:b/>
              </w:rPr>
              <w:t xml:space="preserve">Benefit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E61A" w14:textId="77777777" w:rsidR="00A46F51" w:rsidRDefault="005E4E70">
            <w:pPr>
              <w:spacing w:after="0"/>
              <w:ind w:right="20"/>
              <w:jc w:val="center"/>
            </w:pPr>
            <w:r>
              <w:rPr>
                <w:rFonts w:ascii="Open Sans" w:eastAsia="Open Sans" w:hAnsi="Open Sans" w:cs="Open Sans"/>
                <w:b/>
              </w:rPr>
              <w:t xml:space="preserve">Description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3980" w14:textId="77777777" w:rsidR="00A46F51" w:rsidRDefault="005E4E70">
            <w:pPr>
              <w:spacing w:after="0"/>
              <w:ind w:right="21"/>
              <w:jc w:val="center"/>
            </w:pPr>
            <w:r>
              <w:rPr>
                <w:rFonts w:ascii="Open Sans" w:eastAsia="Open Sans" w:hAnsi="Open Sans" w:cs="Open Sans"/>
                <w:b/>
              </w:rPr>
              <w:t xml:space="preserve">More information </w:t>
            </w:r>
          </w:p>
        </w:tc>
      </w:tr>
      <w:tr w:rsidR="00A46F51" w14:paraId="16E86A57" w14:textId="77777777">
        <w:trPr>
          <w:trHeight w:val="178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ED35" w14:textId="77777777" w:rsidR="00A46F51" w:rsidRDefault="005E4E70">
            <w:pPr>
              <w:spacing w:after="0"/>
              <w:ind w:left="88"/>
            </w:pPr>
            <w:r>
              <w:rPr>
                <w:rFonts w:ascii="Open Sans" w:eastAsia="Open Sans" w:hAnsi="Open Sans" w:cs="Open Sans"/>
              </w:rPr>
              <w:t xml:space="preserve">Counselling service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D03D" w14:textId="77777777" w:rsidR="00A46F51" w:rsidRDefault="005E4E70">
            <w:pPr>
              <w:spacing w:after="0"/>
              <w:ind w:left="121"/>
            </w:pPr>
            <w:r>
              <w:rPr>
                <w:rFonts w:ascii="Open Sans" w:eastAsia="Open Sans" w:hAnsi="Open Sans" w:cs="Open Sans"/>
              </w:rPr>
              <w:t xml:space="preserve">Confidential service provided by Compass Counselling.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80AA" w14:textId="77777777" w:rsidR="00A46F51" w:rsidRDefault="005E4E70">
            <w:pPr>
              <w:spacing w:after="1"/>
              <w:ind w:left="88"/>
            </w:pPr>
            <w:r>
              <w:rPr>
                <w:rFonts w:ascii="Open Sans" w:eastAsia="Open Sans" w:hAnsi="Open Sans" w:cs="Open Sans"/>
              </w:rPr>
              <w:t xml:space="preserve">Phone number available from Central Office HR Department. </w:t>
            </w:r>
          </w:p>
          <w:p w14:paraId="57E8BEB1" w14:textId="77777777" w:rsidR="00A46F51" w:rsidRDefault="005E4E70">
            <w:pPr>
              <w:spacing w:after="0"/>
              <w:ind w:left="88"/>
            </w:pPr>
            <w:r>
              <w:rPr>
                <w:rFonts w:ascii="Open Sans" w:eastAsia="Open Sans" w:hAnsi="Open Sans" w:cs="Open Sans"/>
              </w:rPr>
              <w:t xml:space="preserve">Leaflets/posters also distributed.  </w:t>
            </w:r>
          </w:p>
        </w:tc>
      </w:tr>
      <w:tr w:rsidR="00A46F51" w14:paraId="12A4E0EF" w14:textId="77777777">
        <w:trPr>
          <w:trHeight w:val="405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3D81" w14:textId="77777777" w:rsidR="00A46F51" w:rsidRDefault="005E4E70">
            <w:pPr>
              <w:spacing w:after="0"/>
              <w:ind w:left="88"/>
            </w:pPr>
            <w:r>
              <w:rPr>
                <w:rFonts w:ascii="Open Sans" w:eastAsia="Open Sans" w:hAnsi="Open Sans" w:cs="Open Sans"/>
              </w:rPr>
              <w:t xml:space="preserve">Pension scheme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7D04" w14:textId="77777777" w:rsidR="00A46F51" w:rsidRDefault="005E4E70">
            <w:pPr>
              <w:spacing w:after="159" w:line="260" w:lineRule="auto"/>
              <w:ind w:left="88" w:right="24"/>
            </w:pPr>
            <w:r>
              <w:rPr>
                <w:rFonts w:ascii="Open Sans" w:eastAsia="Open Sans" w:hAnsi="Open Sans" w:cs="Open Sans"/>
              </w:rPr>
              <w:t xml:space="preserve">Our pension provider is Aviva. Staff pay a percentage of their salary monthly into their pension fund. Nugent also pays a contribution to the individual’s pension fund.   </w:t>
            </w:r>
          </w:p>
          <w:p w14:paraId="70E0E5BB" w14:textId="77777777" w:rsidR="00A46F51" w:rsidRDefault="005E4E70">
            <w:pPr>
              <w:spacing w:after="0"/>
              <w:ind w:left="88"/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2AB2" w14:textId="77777777" w:rsidR="00A46F51" w:rsidRDefault="005E4E70">
            <w:pPr>
              <w:spacing w:after="0"/>
              <w:ind w:left="88" w:right="94"/>
            </w:pPr>
            <w:r>
              <w:rPr>
                <w:rFonts w:ascii="Open Sans" w:eastAsia="Open Sans" w:hAnsi="Open Sans" w:cs="Open Sans"/>
              </w:rPr>
              <w:t xml:space="preserve">Under Government </w:t>
            </w:r>
            <w:proofErr w:type="gramStart"/>
            <w:r>
              <w:rPr>
                <w:rFonts w:ascii="Open Sans" w:eastAsia="Open Sans" w:hAnsi="Open Sans" w:cs="Open Sans"/>
              </w:rPr>
              <w:t>rules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all staff who are eligible for pension scheme membership ar</w:t>
            </w:r>
            <w:r>
              <w:rPr>
                <w:rFonts w:ascii="Open Sans" w:eastAsia="Open Sans" w:hAnsi="Open Sans" w:cs="Open Sans"/>
              </w:rPr>
              <w:t xml:space="preserve">e automatically enrolled into the Aviva scheme. You can opt out of the scheme if you wish. Employee and employer contributions increase over time in line with auto-enrolment regulations. </w:t>
            </w:r>
          </w:p>
        </w:tc>
      </w:tr>
      <w:tr w:rsidR="00A46F51" w14:paraId="02467983" w14:textId="77777777">
        <w:trPr>
          <w:trHeight w:val="211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E473" w14:textId="77777777" w:rsidR="00A46F51" w:rsidRDefault="005E4E70">
            <w:pPr>
              <w:tabs>
                <w:tab w:val="center" w:pos="3028"/>
              </w:tabs>
              <w:spacing w:after="0"/>
            </w:pPr>
            <w:r>
              <w:rPr>
                <w:rFonts w:ascii="Open Sans" w:eastAsia="Open Sans" w:hAnsi="Open Sans" w:cs="Open Sans"/>
              </w:rPr>
              <w:t xml:space="preserve">Credit Union membership </w:t>
            </w:r>
            <w:r>
              <w:rPr>
                <w:rFonts w:ascii="Open Sans" w:eastAsia="Open Sans" w:hAnsi="Open Sans" w:cs="Open Sans"/>
              </w:rPr>
              <w:tab/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F63" w14:textId="77777777" w:rsidR="00A46F51" w:rsidRDefault="005E4E70">
            <w:pPr>
              <w:spacing w:after="0"/>
              <w:ind w:left="121" w:right="57" w:hanging="121"/>
            </w:pPr>
            <w:r>
              <w:rPr>
                <w:rFonts w:ascii="Open Sans" w:eastAsia="Open Sans" w:hAnsi="Open Sans" w:cs="Open Sans"/>
              </w:rPr>
              <w:t xml:space="preserve">Operated by Partners Credit Union. Staff can open a savings account, saving as little as £1 per month, and borrow money at reasonable rates.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7A1C" w14:textId="77777777" w:rsidR="00A46F51" w:rsidRDefault="005E4E70">
            <w:pPr>
              <w:spacing w:after="0"/>
              <w:ind w:left="88"/>
            </w:pPr>
            <w:r>
              <w:rPr>
                <w:rFonts w:ascii="Open Sans" w:eastAsia="Open Sans" w:hAnsi="Open Sans" w:cs="Open Sans"/>
              </w:rPr>
              <w:t xml:space="preserve">Deductions </w:t>
            </w:r>
            <w:proofErr w:type="gramStart"/>
            <w:r>
              <w:rPr>
                <w:rFonts w:ascii="Open Sans" w:eastAsia="Open Sans" w:hAnsi="Open Sans" w:cs="Open Sans"/>
              </w:rPr>
              <w:t>can be made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direct from salaries, by notifying Finance. </w:t>
            </w:r>
          </w:p>
        </w:tc>
      </w:tr>
      <w:tr w:rsidR="00A46F51" w14:paraId="59817CDD" w14:textId="77777777">
        <w:tblPrEx>
          <w:tblCellMar>
            <w:left w:w="108" w:type="dxa"/>
          </w:tblCellMar>
        </w:tblPrEx>
        <w:trPr>
          <w:trHeight w:val="146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5B4C" w14:textId="77777777" w:rsidR="00A46F51" w:rsidRDefault="005E4E70">
            <w:pPr>
              <w:spacing w:after="0"/>
            </w:pPr>
            <w:bookmarkStart w:id="0" w:name="_GoBack"/>
            <w:bookmarkEnd w:id="0"/>
            <w:r>
              <w:rPr>
                <w:rFonts w:ascii="Open Sans" w:eastAsia="Open Sans" w:hAnsi="Open Sans" w:cs="Open Sans"/>
              </w:rPr>
              <w:t xml:space="preserve">Healthcare Cash Plan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621B" w14:textId="77777777" w:rsidR="00A46F51" w:rsidRDefault="005E4E70">
            <w:pPr>
              <w:spacing w:after="0"/>
              <w:ind w:left="34"/>
            </w:pPr>
            <w:r>
              <w:rPr>
                <w:rFonts w:ascii="Open Sans" w:eastAsia="Open Sans" w:hAnsi="Open Sans" w:cs="Open Sans"/>
              </w:rPr>
              <w:t xml:space="preserve">Provided by </w:t>
            </w:r>
            <w:proofErr w:type="spellStart"/>
            <w:r>
              <w:rPr>
                <w:rFonts w:ascii="Open Sans" w:eastAsia="Open Sans" w:hAnsi="Open Sans" w:cs="Open Sans"/>
              </w:rPr>
              <w:t>Medicash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. Staff can opt to join at a variety of benefit levels, which will pay towards health care costs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7B14" w14:textId="77777777" w:rsidR="00A46F51" w:rsidRDefault="005E4E70">
            <w:pPr>
              <w:spacing w:after="0"/>
              <w:ind w:right="24"/>
            </w:pPr>
            <w:r>
              <w:rPr>
                <w:rFonts w:ascii="Open Sans" w:eastAsia="Open Sans" w:hAnsi="Open Sans" w:cs="Open Sans"/>
              </w:rPr>
              <w:t xml:space="preserve">Membership/joining information is available from the Central Office HR Department. </w:t>
            </w:r>
          </w:p>
        </w:tc>
      </w:tr>
      <w:tr w:rsidR="00A46F51" w14:paraId="4BA99609" w14:textId="77777777">
        <w:tblPrEx>
          <w:tblCellMar>
            <w:left w:w="108" w:type="dxa"/>
          </w:tblCellMar>
        </w:tblPrEx>
        <w:trPr>
          <w:trHeight w:val="178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18E1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Life Assurance scheme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4D7A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Provided by Howden </w:t>
            </w:r>
          </w:p>
          <w:p w14:paraId="4B93FDB6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>Employee B</w:t>
            </w:r>
            <w:r>
              <w:rPr>
                <w:rFonts w:ascii="Open Sans" w:eastAsia="Open Sans" w:hAnsi="Open Sans" w:cs="Open Sans"/>
              </w:rPr>
              <w:t xml:space="preserve">enefits. Pays one year’s salary to a nominated individual in the event of the employee’s death in service.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1865" w14:textId="77777777" w:rsidR="00A46F51" w:rsidRDefault="005E4E70">
            <w:pPr>
              <w:spacing w:after="0"/>
              <w:ind w:left="71" w:right="59"/>
            </w:pPr>
            <w:r>
              <w:rPr>
                <w:rFonts w:ascii="Open Sans" w:eastAsia="Open Sans" w:hAnsi="Open Sans" w:cs="Open Sans"/>
              </w:rPr>
              <w:t xml:space="preserve">All staff are eligible to receive this benefit free of charge when they start with Nugent. </w:t>
            </w:r>
          </w:p>
        </w:tc>
      </w:tr>
      <w:tr w:rsidR="00A46F51" w14:paraId="23A608DC" w14:textId="77777777">
        <w:tblPrEx>
          <w:tblCellMar>
            <w:left w:w="108" w:type="dxa"/>
          </w:tblCellMar>
        </w:tblPrEx>
        <w:trPr>
          <w:trHeight w:val="211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ABB7" w14:textId="77777777" w:rsidR="00A46F51" w:rsidRDefault="005E4E70">
            <w:pPr>
              <w:spacing w:after="159"/>
              <w:ind w:right="263"/>
              <w:jc w:val="right"/>
            </w:pPr>
            <w:r>
              <w:rPr>
                <w:rFonts w:ascii="Open Sans" w:eastAsia="Open Sans" w:hAnsi="Open Sans" w:cs="Open Sans"/>
              </w:rPr>
              <w:t xml:space="preserve">Employee annual awards     </w:t>
            </w:r>
          </w:p>
          <w:p w14:paraId="0FE15A29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7FBB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Our </w:t>
            </w:r>
            <w:proofErr w:type="spellStart"/>
            <w:r>
              <w:rPr>
                <w:rFonts w:ascii="Open Sans" w:eastAsia="Open Sans" w:hAnsi="Open Sans" w:cs="Open Sans"/>
              </w:rPr>
              <w:t>iACCORD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Awards </w:t>
            </w:r>
            <w:proofErr w:type="gramStart"/>
            <w:r>
              <w:rPr>
                <w:rFonts w:ascii="Open Sans" w:eastAsia="Open Sans" w:hAnsi="Open Sans" w:cs="Open Sans"/>
              </w:rPr>
              <w:t>are based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on each of the 7 values. Separate awards </w:t>
            </w:r>
            <w:proofErr w:type="gramStart"/>
            <w:r>
              <w:rPr>
                <w:rFonts w:ascii="Open Sans" w:eastAsia="Open Sans" w:hAnsi="Open Sans" w:cs="Open Sans"/>
              </w:rPr>
              <w:t>are given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for managers and non-</w:t>
            </w:r>
            <w:r>
              <w:rPr>
                <w:rFonts w:ascii="Open Sans" w:eastAsia="Open Sans" w:hAnsi="Open Sans" w:cs="Open Sans"/>
              </w:rPr>
              <w:t xml:space="preserve">management staff.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028C" w14:textId="77777777" w:rsidR="00A46F51" w:rsidRDefault="005E4E70">
            <w:pPr>
              <w:spacing w:after="0"/>
              <w:ind w:right="54"/>
            </w:pPr>
            <w:r>
              <w:rPr>
                <w:rFonts w:ascii="Open Sans" w:eastAsia="Open Sans" w:hAnsi="Open Sans" w:cs="Open Sans"/>
              </w:rPr>
              <w:t xml:space="preserve">Awarded </w:t>
            </w:r>
            <w:proofErr w:type="gramStart"/>
            <w:r>
              <w:rPr>
                <w:rFonts w:ascii="Open Sans" w:eastAsia="Open Sans" w:hAnsi="Open Sans" w:cs="Open Sans"/>
              </w:rPr>
              <w:t>on the basis of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staff nominations, judged by Trustees. Presentations made at the annual </w:t>
            </w:r>
          </w:p>
          <w:p w14:paraId="2BE797FE" w14:textId="77777777" w:rsidR="00A46F51" w:rsidRDefault="005E4E70">
            <w:pPr>
              <w:spacing w:after="1"/>
            </w:pPr>
            <w:r>
              <w:rPr>
                <w:rFonts w:ascii="Open Sans" w:eastAsia="Open Sans" w:hAnsi="Open Sans" w:cs="Open Sans"/>
              </w:rPr>
              <w:t xml:space="preserve">Leadership Summit and </w:t>
            </w:r>
          </w:p>
          <w:p w14:paraId="6EBEAAA9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>Start the Year Co</w:t>
            </w:r>
            <w:r>
              <w:rPr>
                <w:rFonts w:ascii="Open Sans" w:eastAsia="Open Sans" w:hAnsi="Open Sans" w:cs="Open Sans"/>
              </w:rPr>
              <w:t xml:space="preserve">nference. </w:t>
            </w:r>
          </w:p>
        </w:tc>
      </w:tr>
      <w:tr w:rsidR="00A46F51" w14:paraId="49B8DC94" w14:textId="77777777">
        <w:tblPrEx>
          <w:tblCellMar>
            <w:left w:w="108" w:type="dxa"/>
          </w:tblCellMar>
        </w:tblPrEx>
        <w:trPr>
          <w:trHeight w:val="146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B651" w14:textId="77777777" w:rsidR="00A46F51" w:rsidRDefault="005E4E70">
            <w:pPr>
              <w:spacing w:after="161"/>
              <w:ind w:right="20"/>
            </w:pPr>
            <w:r>
              <w:rPr>
                <w:rFonts w:ascii="Open Sans" w:eastAsia="Open Sans" w:hAnsi="Open Sans" w:cs="Open Sans"/>
              </w:rPr>
              <w:t>Occupational Health services</w:t>
            </w:r>
            <w:r>
              <w:rPr>
                <w:rFonts w:ascii="Open Sans" w:eastAsia="Open Sans" w:hAnsi="Open Sans" w:cs="Open Sans"/>
                <w:b/>
              </w:rPr>
              <w:t xml:space="preserve">  </w:t>
            </w:r>
          </w:p>
          <w:p w14:paraId="50950576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5701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Provided by </w:t>
            </w:r>
            <w:proofErr w:type="spellStart"/>
            <w:r>
              <w:rPr>
                <w:rFonts w:ascii="Open Sans" w:eastAsia="Open Sans" w:hAnsi="Open Sans" w:cs="Open Sans"/>
              </w:rPr>
              <w:t>Everwell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01B9CB16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Occupational Health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B913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Management referrals to clinics in various locations. Telephone consultations also available. </w:t>
            </w:r>
          </w:p>
        </w:tc>
      </w:tr>
      <w:tr w:rsidR="00A46F51" w14:paraId="18734F03" w14:textId="77777777" w:rsidTr="005E4E70">
        <w:tblPrEx>
          <w:tblCellMar>
            <w:left w:w="108" w:type="dxa"/>
          </w:tblCellMar>
        </w:tblPrEx>
        <w:trPr>
          <w:trHeight w:val="97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FFF8" w14:textId="77777777" w:rsidR="00A46F51" w:rsidRDefault="005E4E70">
            <w:pPr>
              <w:spacing w:after="158" w:line="260" w:lineRule="auto"/>
            </w:pPr>
            <w:r>
              <w:rPr>
                <w:rFonts w:ascii="Open Sans" w:eastAsia="Open Sans" w:hAnsi="Open Sans" w:cs="Open Sans"/>
              </w:rPr>
              <w:t>Employee long</w:t>
            </w:r>
            <w:r>
              <w:rPr>
                <w:rFonts w:ascii="Open Sans" w:eastAsia="Open Sans" w:hAnsi="Open Sans" w:cs="Open Sans"/>
                <w:b/>
              </w:rPr>
              <w:t xml:space="preserve"> </w:t>
            </w:r>
            <w:r>
              <w:rPr>
                <w:rFonts w:ascii="Open Sans" w:eastAsia="Open Sans" w:hAnsi="Open Sans" w:cs="Open Sans"/>
              </w:rPr>
              <w:t xml:space="preserve">service awards </w:t>
            </w:r>
          </w:p>
          <w:p w14:paraId="2C529DA5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8088" w14:textId="77777777" w:rsidR="00A46F51" w:rsidRDefault="005E4E70">
            <w:pPr>
              <w:spacing w:after="0"/>
              <w:ind w:right="34"/>
            </w:pPr>
            <w:r>
              <w:rPr>
                <w:rFonts w:ascii="Open Sans" w:eastAsia="Open Sans" w:hAnsi="Open Sans" w:cs="Open Sans"/>
              </w:rPr>
              <w:t xml:space="preserve">Currently awarded after 10 and 20 </w:t>
            </w:r>
            <w:r>
              <w:rPr>
                <w:rFonts w:ascii="Open Sans" w:eastAsia="Open Sans" w:hAnsi="Open Sans" w:cs="Open Sans"/>
              </w:rPr>
              <w:t>years’ service with Nugent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C715" w14:textId="77777777" w:rsidR="00A46F51" w:rsidRDefault="005E4E70">
            <w:pPr>
              <w:spacing w:after="0" w:line="260" w:lineRule="auto"/>
            </w:pPr>
            <w:r>
              <w:rPr>
                <w:rFonts w:ascii="Open Sans" w:eastAsia="Open Sans" w:hAnsi="Open Sans" w:cs="Open Sans"/>
              </w:rPr>
              <w:t xml:space="preserve">Certificate and vouchers presented at the Start the </w:t>
            </w:r>
          </w:p>
          <w:p w14:paraId="783B5D32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Year Conference </w:t>
            </w:r>
          </w:p>
        </w:tc>
      </w:tr>
      <w:tr w:rsidR="00A46F51" w14:paraId="07923317" w14:textId="77777777">
        <w:tblPrEx>
          <w:tblCellMar>
            <w:left w:w="108" w:type="dxa"/>
          </w:tblCellMar>
        </w:tblPrEx>
        <w:trPr>
          <w:trHeight w:val="178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E5B5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Subsidised </w:t>
            </w:r>
          </w:p>
          <w:p w14:paraId="293B0C66" w14:textId="77777777" w:rsidR="00A46F51" w:rsidRDefault="005E4E70">
            <w:pPr>
              <w:spacing w:after="161"/>
            </w:pPr>
            <w:r>
              <w:rPr>
                <w:rFonts w:ascii="Open Sans" w:eastAsia="Open Sans" w:hAnsi="Open Sans" w:cs="Open Sans"/>
              </w:rPr>
              <w:t xml:space="preserve">Physiotherapy </w:t>
            </w:r>
          </w:p>
          <w:p w14:paraId="59576F02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8449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Where a </w:t>
            </w:r>
            <w:proofErr w:type="gramStart"/>
            <w:r>
              <w:rPr>
                <w:rFonts w:ascii="Open Sans" w:eastAsia="Open Sans" w:hAnsi="Open Sans" w:cs="Open Sans"/>
              </w:rPr>
              <w:t>member of staff has been injured by a service user</w:t>
            </w:r>
            <w:proofErr w:type="gramEnd"/>
            <w:r>
              <w:rPr>
                <w:rFonts w:ascii="Open Sans" w:eastAsia="Open Sans" w:hAnsi="Open Sans" w:cs="Open Sans"/>
              </w:rPr>
              <w:t>,</w:t>
            </w:r>
            <w:r>
              <w:rPr>
                <w:rFonts w:ascii="Open Sans" w:eastAsia="Open Sans" w:hAnsi="Open Sans" w:cs="Open Sans"/>
              </w:rPr>
              <w:t xml:space="preserve"> 50% of the cost of private physiotherapy undertaken will be reimbursed, up to £150.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EDA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Individuals should inform their manager of their intention to seek private treatment and claim reimbursement. </w:t>
            </w:r>
          </w:p>
        </w:tc>
      </w:tr>
      <w:tr w:rsidR="00A46F51" w14:paraId="24CB0D7F" w14:textId="77777777">
        <w:tblPrEx>
          <w:tblCellMar>
            <w:left w:w="108" w:type="dxa"/>
          </w:tblCellMar>
        </w:tblPrEx>
        <w:trPr>
          <w:trHeight w:val="178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B06E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Free eye tests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32D8" w14:textId="77777777" w:rsidR="00A46F51" w:rsidRDefault="005E4E70">
            <w:pPr>
              <w:spacing w:after="0"/>
              <w:ind w:right="93"/>
            </w:pPr>
            <w:r>
              <w:rPr>
                <w:rFonts w:ascii="Open Sans" w:eastAsia="Open Sans" w:hAnsi="Open Sans" w:cs="Open Sans"/>
              </w:rPr>
              <w:t xml:space="preserve">If your role involves working at a computer for most of the day, you can request a voucher to cover the cost of an eye test at an Optician.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5BDC" w14:textId="77777777" w:rsidR="00A46F51" w:rsidRDefault="005E4E70">
            <w:pPr>
              <w:spacing w:after="0"/>
              <w:ind w:right="1"/>
            </w:pPr>
            <w:r>
              <w:rPr>
                <w:rFonts w:ascii="Open Sans" w:eastAsia="Open Sans" w:hAnsi="Open Sans" w:cs="Open Sans"/>
              </w:rPr>
              <w:t xml:space="preserve">Ask your manager to request a voucher from the Administration Department  at Central Office </w:t>
            </w:r>
          </w:p>
        </w:tc>
      </w:tr>
      <w:tr w:rsidR="00A46F51" w14:paraId="015A8231" w14:textId="77777777">
        <w:tblPrEx>
          <w:tblCellMar>
            <w:left w:w="108" w:type="dxa"/>
          </w:tblCellMar>
        </w:tblPrEx>
        <w:trPr>
          <w:trHeight w:val="178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7D4E" w14:textId="77777777" w:rsidR="00A46F51" w:rsidRDefault="005E4E70">
            <w:pPr>
              <w:spacing w:after="0"/>
              <w:ind w:right="45"/>
            </w:pPr>
            <w:r>
              <w:rPr>
                <w:rFonts w:ascii="Open Sans" w:eastAsia="Open Sans" w:hAnsi="Open Sans" w:cs="Open Sans"/>
              </w:rPr>
              <w:t>Free DBS check for ev</w:t>
            </w:r>
            <w:r>
              <w:rPr>
                <w:rFonts w:ascii="Open Sans" w:eastAsia="Open Sans" w:hAnsi="Open Sans" w:cs="Open Sans"/>
              </w:rPr>
              <w:t xml:space="preserve">eryone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EDB5" w14:textId="77777777" w:rsidR="00A46F51" w:rsidRDefault="005E4E70">
            <w:pPr>
              <w:spacing w:after="0"/>
              <w:ind w:right="63"/>
            </w:pPr>
            <w:r>
              <w:rPr>
                <w:rFonts w:ascii="Open Sans" w:eastAsia="Open Sans" w:hAnsi="Open Sans" w:cs="Open Sans"/>
              </w:rPr>
              <w:t xml:space="preserve">All staff are required to join the DBS Update service, which provides them with their own online DBS account. Nugent pays the cost of this.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0076" w14:textId="77777777" w:rsidR="00A46F51" w:rsidRDefault="005E4E70">
            <w:pPr>
              <w:spacing w:after="0"/>
              <w:ind w:right="63"/>
            </w:pPr>
            <w:r>
              <w:rPr>
                <w:rFonts w:ascii="Open Sans" w:eastAsia="Open Sans" w:hAnsi="Open Sans" w:cs="Open Sans"/>
              </w:rPr>
              <w:t>Staff should pay attention to any notifications sent to them by DBS, contacting their manager or HR for adv</w:t>
            </w:r>
            <w:r>
              <w:rPr>
                <w:rFonts w:ascii="Open Sans" w:eastAsia="Open Sans" w:hAnsi="Open Sans" w:cs="Open Sans"/>
              </w:rPr>
              <w:t xml:space="preserve">ice if necessary. </w:t>
            </w:r>
          </w:p>
        </w:tc>
      </w:tr>
      <w:tr w:rsidR="00A46F51" w14:paraId="76D0C655" w14:textId="77777777">
        <w:tblPrEx>
          <w:tblCellMar>
            <w:left w:w="108" w:type="dxa"/>
          </w:tblCellMar>
        </w:tblPrEx>
        <w:trPr>
          <w:trHeight w:val="130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44AE" w14:textId="77777777" w:rsidR="00A46F51" w:rsidRDefault="005E4E70">
            <w:pPr>
              <w:spacing w:after="161"/>
            </w:pPr>
            <w:r>
              <w:rPr>
                <w:rFonts w:ascii="Open Sans" w:eastAsia="Open Sans" w:hAnsi="Open Sans" w:cs="Open Sans"/>
              </w:rPr>
              <w:t xml:space="preserve">Professional development  </w:t>
            </w:r>
          </w:p>
          <w:p w14:paraId="4AF48780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1900" w14:textId="77777777" w:rsidR="00A46F51" w:rsidRDefault="005E4E70">
            <w:pP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The Supervision and Appraisal process provides all staff with the opportunity to develop their skills and knowledge for </w:t>
            </w:r>
          </w:p>
          <w:p w14:paraId="526EC88D" w14:textId="77777777" w:rsidR="005E4E70" w:rsidRDefault="005E4E70">
            <w:pPr>
              <w:spacing w:after="0"/>
            </w:pPr>
            <w:proofErr w:type="gramStart"/>
            <w:r>
              <w:rPr>
                <w:rFonts w:ascii="Open Sans" w:eastAsia="Open Sans" w:hAnsi="Open Sans" w:cs="Open Sans"/>
              </w:rPr>
              <w:t>their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current role and their next one.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A1DC" w14:textId="77777777" w:rsidR="005E4E70" w:rsidRDefault="005E4E70">
            <w:pP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Supervision meetings with your manager should take place regularly, and an annual Appraisal meeting</w:t>
            </w:r>
          </w:p>
          <w:p w14:paraId="3C1E708E" w14:textId="77777777" w:rsidR="00A46F51" w:rsidRDefault="005E4E70">
            <w:pPr>
              <w:spacing w:after="0"/>
            </w:pPr>
            <w:proofErr w:type="gramStart"/>
            <w:r>
              <w:rPr>
                <w:rFonts w:ascii="Open Sans" w:eastAsia="Open Sans" w:hAnsi="Open Sans" w:cs="Open Sans"/>
              </w:rPr>
              <w:t>will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result in a development plan for you to follow.</w:t>
            </w:r>
          </w:p>
        </w:tc>
      </w:tr>
      <w:tr w:rsidR="00A46F51" w14:paraId="48C27501" w14:textId="77777777">
        <w:tblPrEx>
          <w:tblCellMar>
            <w:left w:w="108" w:type="dxa"/>
          </w:tblCellMar>
        </w:tblPrEx>
        <w:trPr>
          <w:trHeight w:val="146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A769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Free car parking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3CC9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Most of Nugent’s premises have </w:t>
            </w:r>
            <w:proofErr w:type="gramStart"/>
            <w:r>
              <w:rPr>
                <w:rFonts w:ascii="Open Sans" w:eastAsia="Open Sans" w:hAnsi="Open Sans" w:cs="Open Sans"/>
              </w:rPr>
              <w:t>car park</w:t>
            </w:r>
            <w:r>
              <w:rPr>
                <w:rFonts w:ascii="Open Sans" w:eastAsia="Open Sans" w:hAnsi="Open Sans" w:cs="Open Sans"/>
              </w:rPr>
              <w:t>ing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facilities for which there is no parking charge.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DC77" w14:textId="77777777" w:rsidR="00A46F51" w:rsidRDefault="005E4E70">
            <w:pPr>
              <w:spacing w:after="0"/>
            </w:pPr>
            <w:r>
              <w:rPr>
                <w:rFonts w:ascii="Open Sans" w:eastAsia="Open Sans" w:hAnsi="Open Sans" w:cs="Open Sans"/>
              </w:rPr>
              <w:t xml:space="preserve">However, some of Nugent premises do not have car parking space.  </w:t>
            </w:r>
          </w:p>
        </w:tc>
      </w:tr>
    </w:tbl>
    <w:p w14:paraId="670F94E8" w14:textId="77777777" w:rsidR="00A46F51" w:rsidRDefault="005E4E70">
      <w:pPr>
        <w:spacing w:after="0"/>
        <w:jc w:val="both"/>
      </w:pPr>
      <w:r>
        <w:rPr>
          <w:rFonts w:ascii="Open Sans" w:eastAsia="Open Sans" w:hAnsi="Open Sans" w:cs="Open Sans"/>
        </w:rPr>
        <w:t xml:space="preserve"> </w:t>
      </w:r>
    </w:p>
    <w:sectPr w:rsidR="00A46F51" w:rsidSect="005E4E70">
      <w:pgSz w:w="11906" w:h="16838"/>
      <w:pgMar w:top="709" w:right="1389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51"/>
    <w:rsid w:val="005E4E70"/>
    <w:rsid w:val="00A4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D8DF"/>
  <w15:docId w15:val="{8E149CBA-3840-4223-A1C2-C2C097BB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0CF7F672C8545AAEBA4D0D81712F0" ma:contentTypeVersion="10" ma:contentTypeDescription="Create a new document." ma:contentTypeScope="" ma:versionID="62f3a6b616f0de4dfbff3e1f91c45c01">
  <xsd:schema xmlns:xsd="http://www.w3.org/2001/XMLSchema" xmlns:xs="http://www.w3.org/2001/XMLSchema" xmlns:p="http://schemas.microsoft.com/office/2006/metadata/properties" xmlns:ns2="e746eb35-88d3-4cb6-baed-8d7162fc4b75" xmlns:ns3="7cfc276c-2af4-4d08-9158-10be72e73ac1" targetNamespace="http://schemas.microsoft.com/office/2006/metadata/properties" ma:root="true" ma:fieldsID="7f96f1175748d21d775cebb9dc5a36d6" ns2:_="" ns3:_="">
    <xsd:import namespace="e746eb35-88d3-4cb6-baed-8d7162fc4b75"/>
    <xsd:import namespace="7cfc276c-2af4-4d08-9158-10be72e73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6eb35-88d3-4cb6-baed-8d7162fc4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c276c-2af4-4d08-9158-10be72e73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AEEE7-F7B3-4E42-93F0-69E34DD220C6}"/>
</file>

<file path=customXml/itemProps2.xml><?xml version="1.0" encoding="utf-8"?>
<ds:datastoreItem xmlns:ds="http://schemas.openxmlformats.org/officeDocument/2006/customXml" ds:itemID="{8AEA99BF-399F-450C-BFE3-CE7B1FD5278B}"/>
</file>

<file path=customXml/itemProps3.xml><?xml version="1.0" encoding="utf-8"?>
<ds:datastoreItem xmlns:ds="http://schemas.openxmlformats.org/officeDocument/2006/customXml" ds:itemID="{069C7410-CF41-4ACB-B6A2-18EDD5435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Nugent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Blackwell</dc:creator>
  <cp:keywords/>
  <cp:lastModifiedBy>Gillian Evans</cp:lastModifiedBy>
  <cp:revision>2</cp:revision>
  <dcterms:created xsi:type="dcterms:W3CDTF">2019-06-18T11:05:00Z</dcterms:created>
  <dcterms:modified xsi:type="dcterms:W3CDTF">2019-06-18T11:05:00Z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0x010100FA40CF7F672C8545AAEBA4D0D81712F0</vt:lpwstr>
  </property>
</Properties>
</file>